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5400"/>
        <w:gridCol w:w="3960"/>
      </w:tblGrid>
      <w:tr>
        <w:tc>
          <w:tcPr>
            <w:tcW w:type="dxa" w:w="5400"/>
            <w:tcBorders>
              <w:top w:val="none" w:color="FFFFFF" w:sz="0"/>
              <w:left w:val="none" w:color="FFFFFF" w:sz="0"/>
              <w:bottom w:val="none" w:color="FFFFFF" w:sz="0"/>
              <w:right w:val="none" w:color="FFFFFF" w:sz="0"/>
            </w:tcBorders>
            <w:vAlign w:val="bottom"/>
          </w:tcPr>
          <w:p>
            <w:pPr>
              <w:spacing w:after="0"/>
            </w:pPr>
            <w:r>
              <w:rPr>
                <w:rFonts w:ascii="Calibri" w:cs="Calibri" w:eastAsia="Calibri" w:hAnsi="Calibri"/>
                <w:b/>
                <w:bCs/>
                <w:color w:val="1F3A5F"/>
                <w:sz w:val="44"/>
                <w:szCs w:val="44"/>
              </w:rPr>
              <w:t xml:space="preserve">NetWell</w:t>
            </w:r>
            <w:r>
              <w:rPr>
                <w:rFonts w:ascii="Calibri" w:cs="Calibri" w:eastAsia="Calibri" w:hAnsi="Calibri"/>
                <w:color w:val="3C7DBF"/>
                <w:sz w:val="44"/>
                <w:szCs w:val="44"/>
              </w:rPr>
              <w:t xml:space="preserve"> Noise Control</w:t>
            </w:r>
          </w:p>
          <w:p>
            <w:pPr>
              <w:spacing w:after="0"/>
            </w:pPr>
            <w:r>
              <w:rPr>
                <w:rFonts w:ascii="Calibri" w:cs="Calibri" w:eastAsia="Calibri" w:hAnsi="Calibri"/>
                <w:color w:val="5F6B7A"/>
                <w:sz w:val="18"/>
                <w:szCs w:val="18"/>
              </w:rPr>
              <w:t xml:space="preserve">Acoustic Treatment and Noise Control Solutions</w:t>
            </w:r>
          </w:p>
        </w:tc>
        <w:tc>
          <w:tcPr>
            <w:tcW w:type="dxa" w:w="3960"/>
            <w:tcBorders>
              <w:top w:val="none" w:color="FFFFFF" w:sz="0"/>
              <w:left w:val="none" w:color="FFFFFF" w:sz="0"/>
              <w:bottom w:val="none" w:color="FFFFFF" w:sz="0"/>
              <w:right w:val="none" w:color="FFFFFF" w:sz="0"/>
            </w:tcBorders>
            <w:vAlign w:val="bottom"/>
          </w:tcPr>
          <w:p>
            <w:pPr>
              <w:spacing w:after="0"/>
              <w:jc w:val="right"/>
            </w:pPr>
            <w:r>
              <w:rPr>
                <w:rFonts w:ascii="Calibri" w:cs="Calibri" w:eastAsia="Calibri" w:hAnsi="Calibri"/>
                <w:color w:val="5F6B7A"/>
                <w:sz w:val="18"/>
                <w:szCs w:val="18"/>
              </w:rPr>
              <w:t xml:space="preserve">10567 165th St. W, Ste 106</w:t>
            </w:r>
          </w:p>
          <w:p>
            <w:pPr>
              <w:spacing w:after="0"/>
              <w:jc w:val="right"/>
            </w:pPr>
            <w:r>
              <w:rPr>
                <w:rFonts w:ascii="Calibri" w:cs="Calibri" w:eastAsia="Calibri" w:hAnsi="Calibri"/>
                <w:color w:val="5F6B7A"/>
                <w:sz w:val="18"/>
                <w:szCs w:val="18"/>
              </w:rPr>
              <w:t xml:space="preserve">Lakeville, MN 55044</w:t>
            </w:r>
          </w:p>
          <w:p>
            <w:pPr>
              <w:spacing w:after="0"/>
              <w:jc w:val="right"/>
            </w:pPr>
            <w:r>
              <w:rPr>
                <w:rFonts w:ascii="Calibri" w:cs="Calibri" w:eastAsia="Calibri" w:hAnsi="Calibri"/>
                <w:color w:val="5F6B7A"/>
                <w:sz w:val="18"/>
                <w:szCs w:val="18"/>
              </w:rPr>
              <w:t xml:space="preserve">Phone: 1-800-638-9355</w:t>
            </w:r>
          </w:p>
          <w:p>
            <w:pPr>
              <w:spacing w:after="0"/>
              <w:jc w:val="right"/>
            </w:pPr>
            <w:hyperlink w:history="1" r:id="rIdv4ztnigmupdtzuqrfge-j">
              <w:r>
                <w:rPr>
                  <w:rFonts w:ascii="Calibri" w:cs="Calibri" w:eastAsia="Calibri" w:hAnsi="Calibri"/>
                  <w:color w:val="3C7DBF"/>
                  <w:sz w:val="18"/>
                  <w:szCs w:val="18"/>
                </w:rPr>
                <w:t xml:space="preserve">help@controlnoise.com</w:t>
              </w:r>
            </w:hyperlink>
          </w:p>
          <w:p>
            <w:pPr>
              <w:spacing w:after="0"/>
              <w:jc w:val="right"/>
            </w:pPr>
            <w:hyperlink w:history="1" r:id="rIdd4cxbvd5ddruy4pqsaxz_">
              <w:r>
                <w:rPr>
                  <w:rFonts w:ascii="Calibri" w:cs="Calibri" w:eastAsia="Calibri" w:hAnsi="Calibri"/>
                  <w:color w:val="3C7DBF"/>
                  <w:sz w:val="18"/>
                  <w:szCs w:val="18"/>
                </w:rPr>
                <w:t xml:space="preserve">www.controlnoise.com</w:t>
              </w:r>
            </w:hyperlink>
          </w:p>
        </w:tc>
      </w:tr>
    </w:tbl>
    <w:p>
      <w:pPr>
        <w:pBdr>
          <w:bottom w:val="single" w:color="1F3A5F" w:sz="18" w:space="1"/>
        </w:pBdr>
        <w:spacing w:after="0" w:before="120"/>
      </w:pPr>
    </w:p>
    <w:p>
      <w:pPr>
        <w:spacing w:after="40" w:before="280"/>
      </w:pPr>
      <w:r>
        <w:rPr>
          <w:rFonts w:ascii="Calibri" w:cs="Calibri" w:eastAsia="Calibri" w:hAnsi="Calibri"/>
          <w:b/>
          <w:bCs/>
          <w:color w:val="3C7DBF"/>
          <w:spacing w:val="20"/>
          <w:sz w:val="20"/>
          <w:szCs w:val="20"/>
        </w:rPr>
        <w:t xml:space="preserve">SECTION 09 84 36</w:t>
      </w:r>
      <w:r>
        <w:rPr>
          <w:rFonts w:ascii="Calibri" w:cs="Calibri" w:eastAsia="Calibri" w:hAnsi="Calibri"/>
          <w:color w:val="5F6B7A"/>
          <w:sz w:val="20"/>
          <w:szCs w:val="20"/>
        </w:rPr>
        <w:t xml:space="preserve">   |   </w:t>
      </w:r>
      <w:r>
        <w:rPr>
          <w:rFonts w:ascii="Calibri" w:cs="Calibri" w:eastAsia="Calibri" w:hAnsi="Calibri"/>
          <w:color w:val="5F6B7A"/>
          <w:spacing w:val="20"/>
          <w:sz w:val="20"/>
          <w:szCs w:val="20"/>
        </w:rPr>
        <w:t xml:space="preserve">SOUND-ABSORBING CEILING UNITS</w:t>
      </w:r>
    </w:p>
    <w:p>
      <w:pPr>
        <w:spacing w:after="80" w:before="0"/>
      </w:pPr>
      <w:r>
        <w:rPr>
          <w:rFonts w:ascii="Calibri" w:cs="Calibri" w:eastAsia="Calibri" w:hAnsi="Calibri"/>
          <w:b/>
          <w:bCs/>
          <w:color w:val="1F3A5F"/>
          <w:sz w:val="40"/>
          <w:szCs w:val="40"/>
        </w:rPr>
        <w:t xml:space="preserve">VET Acoustical Baffles</w:t>
      </w:r>
    </w:p>
    <w:p>
      <w:pPr>
        <w:pBdr>
          <w:bottom w:val="single" w:color="B8C4D2" w:sz="4" w:space="1"/>
        </w:pBdr>
        <w:spacing w:after="120" w:before="0"/>
      </w:pPr>
    </w:p>
    <w:p>
      <w:pPr>
        <w:keepNext/>
        <w:shd w:fill="1F3A5F" w:color="auto" w:val="clear"/>
        <w:spacing w:after="80" w:before="240"/>
        <w:ind w:left="0"/>
      </w:pPr>
      <w:r>
        <w:rPr>
          <w:rFonts w:ascii="Calibri" w:cs="Calibri" w:eastAsia="Calibri" w:hAnsi="Calibri"/>
          <w:b/>
          <w:bCs/>
          <w:color w:val="FFFFFF"/>
          <w:sz w:val="22"/>
          <w:szCs w:val="22"/>
        </w:rPr>
        <w:t xml:space="preserve">  PART 1   GENERAL</w:t>
      </w:r>
    </w:p>
    <w:p>
      <w:pPr>
        <w:keepNext/>
        <w:tabs>
          <w:tab w:val="left" w:pos="864"/>
        </w:tabs>
        <w:spacing w:after="50" w:before="160"/>
        <w:ind w:left="864" w:hanging="864"/>
      </w:pPr>
      <w:r>
        <w:rPr>
          <w:rFonts w:ascii="Calibri" w:cs="Calibri" w:eastAsia="Calibri" w:hAnsi="Calibri"/>
          <w:b/>
          <w:bCs/>
          <w:color w:val="1F3A5F"/>
          <w:sz w:val="21"/>
          <w:szCs w:val="21"/>
        </w:rPr>
        <w:t xml:space="preserve">1.01	</w:t>
      </w:r>
      <w:r>
        <w:rPr>
          <w:rFonts w:ascii="Calibri" w:cs="Calibri" w:eastAsia="Calibri" w:hAnsi="Calibri"/>
          <w:b/>
          <w:bCs/>
          <w:color w:val="1F3A5F"/>
          <w:sz w:val="21"/>
          <w:szCs w:val="21"/>
        </w:rPr>
        <w:t xml:space="preserve">SECTION INCLUDES</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VET acoustical baffles suspended from ceilings or overhead structure to reduce reverberation and improve sound quality in large-volume spaces.</w:t>
      </w:r>
    </w:p>
    <w:p>
      <w:pPr>
        <w:keepNext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Related Sections:</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Section 09 51 00: Acoustical Ceilings.</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Section 09 84 13: Fixed Sound-Absorptive Panels.</w:t>
      </w:r>
    </w:p>
    <w:p>
      <w:pPr>
        <w:keepNext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Section 09 84 33: Sound-Absorbing Wall Units.</w:t>
      </w:r>
    </w:p>
    <w:p>
      <w:pPr>
        <w:keepNext/>
        <w:tabs>
          <w:tab w:val="left" w:pos="864"/>
        </w:tabs>
        <w:spacing w:after="50" w:before="160"/>
        <w:ind w:left="864" w:hanging="864"/>
      </w:pPr>
      <w:r>
        <w:rPr>
          <w:rFonts w:ascii="Calibri" w:cs="Calibri" w:eastAsia="Calibri" w:hAnsi="Calibri"/>
          <w:b/>
          <w:bCs/>
          <w:color w:val="1F3A5F"/>
          <w:sz w:val="21"/>
          <w:szCs w:val="21"/>
        </w:rPr>
        <w:t xml:space="preserve">1.02	</w:t>
      </w:r>
      <w:r>
        <w:rPr>
          <w:rFonts w:ascii="Calibri" w:cs="Calibri" w:eastAsia="Calibri" w:hAnsi="Calibri"/>
          <w:b/>
          <w:bCs/>
          <w:color w:val="1F3A5F"/>
          <w:sz w:val="21"/>
          <w:szCs w:val="21"/>
        </w:rPr>
        <w:t xml:space="preserve">REFERENCES</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American Society for Testing and Materials (ASTM)</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ASTM C423: Standard Test Method for Sound Absorption and Sound Absorption Coefficients by the Reverberation Room Method.</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ASTM E795: Standard Practices for Mounting Test Specimens During Sound Absorption Tests.</w:t>
      </w:r>
    </w:p>
    <w:p>
      <w:pPr>
        <w:keepNext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ASTM E84: Standard Test Method for Surface Burning Characteristics of Building Materials.</w:t>
      </w:r>
    </w:p>
    <w:p>
      <w:pPr>
        <w:keepNext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UL Solutions (UL)</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UL 723: Standard for Test for Surface Burning Characteristics of Building Materials.</w:t>
      </w:r>
    </w:p>
    <w:p>
      <w:pPr>
        <w:keepNext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National Fire Protection Association (NFPA)</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NFPA 701: Standard Methods of Fire Tests for Flame Propagation of Textiles and Films.</w:t>
      </w:r>
    </w:p>
    <w:p>
      <w:pPr>
        <w:keepNext w:val="false"/>
        <w:tabs>
          <w:tab w:val="left" w:pos="1152"/>
        </w:tabs>
        <w:spacing w:after="30" w:before="30" w:line="259"/>
        <w:ind w:left="1152" w:hanging="432"/>
      </w:pPr>
      <w:r>
        <w:rPr>
          <w:rFonts w:ascii="Calibri" w:cs="Calibri" w:eastAsia="Calibri" w:hAnsi="Calibri"/>
          <w:sz w:val="21"/>
          <w:szCs w:val="21"/>
        </w:rPr>
        <w:t xml:space="preserve">D.	</w:t>
      </w:r>
      <w:r>
        <w:rPr>
          <w:rFonts w:ascii="Calibri" w:cs="Calibri" w:eastAsia="Calibri" w:hAnsi="Calibri"/>
          <w:sz w:val="21"/>
          <w:szCs w:val="21"/>
        </w:rPr>
        <w:t xml:space="preserve">International Code Council (ICC)</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ICC IBC: International Building Code.</w:t>
      </w:r>
    </w:p>
    <w:p>
      <w:pPr>
        <w:keepNext/>
        <w:tabs>
          <w:tab w:val="left" w:pos="864"/>
        </w:tabs>
        <w:spacing w:after="50" w:before="160"/>
        <w:ind w:left="864" w:hanging="864"/>
      </w:pPr>
      <w:r>
        <w:rPr>
          <w:rFonts w:ascii="Calibri" w:cs="Calibri" w:eastAsia="Calibri" w:hAnsi="Calibri"/>
          <w:b/>
          <w:bCs/>
          <w:color w:val="1F3A5F"/>
          <w:sz w:val="21"/>
          <w:szCs w:val="21"/>
        </w:rPr>
        <w:t xml:space="preserve">1.03	</w:t>
      </w:r>
      <w:r>
        <w:rPr>
          <w:rFonts w:ascii="Calibri" w:cs="Calibri" w:eastAsia="Calibri" w:hAnsi="Calibri"/>
          <w:b/>
          <w:bCs/>
          <w:color w:val="1F3A5F"/>
          <w:sz w:val="21"/>
          <w:szCs w:val="21"/>
        </w:rPr>
        <w:t xml:space="preserve">SUBMITTALS</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Product Data: Manufacturer’s technical data for each type of acoustical baffle, including dimensions, core material, facing, mounting accessories, suspension hardware, and acoustical performance.</w:t>
      </w:r>
    </w:p>
    <w:p>
      <w:pPr>
        <w:keepNext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Samples: Product sample and PVC facing color samples for selection, if applicable.</w:t>
      </w:r>
    </w:p>
    <w:p>
      <w:pPr>
        <w:keepNext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Shop Drawings: Indicate baffle layout, suspension points, and coordination with lighting, sprinklers, HVAC, and other ceiling elements.</w:t>
      </w:r>
    </w:p>
    <w:p>
      <w:pPr>
        <w:keepNext w:val="false"/>
        <w:tabs>
          <w:tab w:val="left" w:pos="1152"/>
        </w:tabs>
        <w:spacing w:after="30" w:before="30" w:line="259"/>
        <w:ind w:left="1152" w:hanging="432"/>
      </w:pPr>
      <w:r>
        <w:rPr>
          <w:rFonts w:ascii="Calibri" w:cs="Calibri" w:eastAsia="Calibri" w:hAnsi="Calibri"/>
          <w:sz w:val="21"/>
          <w:szCs w:val="21"/>
        </w:rPr>
        <w:t xml:space="preserve">D.	</w:t>
      </w:r>
      <w:r>
        <w:rPr>
          <w:rFonts w:ascii="Calibri" w:cs="Calibri" w:eastAsia="Calibri" w:hAnsi="Calibri"/>
          <w:sz w:val="21"/>
          <w:szCs w:val="21"/>
        </w:rPr>
        <w:t xml:space="preserve">Certificates:</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Flame spread and smoke development certification per ASTM E84 / UL 723.</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Sound absorption test results per ASTM C423 and ASTM E795.</w:t>
      </w:r>
    </w:p>
    <w:p>
      <w:pPr>
        <w:keepNext/>
        <w:tabs>
          <w:tab w:val="left" w:pos="864"/>
        </w:tabs>
        <w:spacing w:after="50" w:before="160"/>
        <w:ind w:left="864" w:hanging="864"/>
      </w:pPr>
      <w:r>
        <w:rPr>
          <w:rFonts w:ascii="Calibri" w:cs="Calibri" w:eastAsia="Calibri" w:hAnsi="Calibri"/>
          <w:b/>
          <w:bCs/>
          <w:color w:val="1F3A5F"/>
          <w:sz w:val="21"/>
          <w:szCs w:val="21"/>
        </w:rPr>
        <w:t xml:space="preserve">1.04	</w:t>
      </w:r>
      <w:r>
        <w:rPr>
          <w:rFonts w:ascii="Calibri" w:cs="Calibri" w:eastAsia="Calibri" w:hAnsi="Calibri"/>
          <w:b/>
          <w:bCs/>
          <w:color w:val="1F3A5F"/>
          <w:sz w:val="21"/>
          <w:szCs w:val="21"/>
        </w:rPr>
        <w:t xml:space="preserve">QUALITY ASSURANCE</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Qualifications:</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Manufacturers: Minimum 5 years’ experience manufacturing acoustical baffles. Provide acoustical baffles from a single manufacturer.</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Installers: Qualified to perform work in accordance with manufacturer’s instructions.</w:t>
      </w:r>
    </w:p>
    <w:p>
      <w:pPr>
        <w:keepNext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Performance Requirements:</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Surface Burning Characteristics: Acoustical baffles to perform as specified when tested in accordance with ASTM E84 / UL 723. Surface burning performance should comply with the International Building Code and other local building code requirements.</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Acoustical Characteristics: Acoustical baffles to perform as specified when tested in accordance with ASTM C423 and ASTM E795.</w:t>
      </w:r>
    </w:p>
    <w:p>
      <w:pPr>
        <w:keepNext/>
        <w:tabs>
          <w:tab w:val="left" w:pos="864"/>
        </w:tabs>
        <w:spacing w:after="50" w:before="160"/>
        <w:ind w:left="864" w:hanging="864"/>
      </w:pPr>
      <w:r>
        <w:rPr>
          <w:rFonts w:ascii="Calibri" w:cs="Calibri" w:eastAsia="Calibri" w:hAnsi="Calibri"/>
          <w:b/>
          <w:bCs/>
          <w:color w:val="1F3A5F"/>
          <w:sz w:val="21"/>
          <w:szCs w:val="21"/>
        </w:rPr>
        <w:t xml:space="preserve">1.05	</w:t>
      </w:r>
      <w:r>
        <w:rPr>
          <w:rFonts w:ascii="Calibri" w:cs="Calibri" w:eastAsia="Calibri" w:hAnsi="Calibri"/>
          <w:b/>
          <w:bCs/>
          <w:color w:val="1F3A5F"/>
          <w:sz w:val="21"/>
          <w:szCs w:val="21"/>
        </w:rPr>
        <w:t xml:space="preserve">DELIVERY, STORAGE, AND HANDLING</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Deliver in unopened factory packaging with labels intact.</w:t>
      </w:r>
    </w:p>
    <w:p>
      <w:pPr>
        <w:keepNext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Store indoors in a clean, dry space protected from moisture, direct sunlight, and physical damage.</w:t>
      </w:r>
    </w:p>
    <w:p>
      <w:pPr>
        <w:keepNext/>
        <w:tabs>
          <w:tab w:val="left" w:pos="864"/>
        </w:tabs>
        <w:spacing w:after="50" w:before="160"/>
        <w:ind w:left="864" w:hanging="864"/>
      </w:pPr>
      <w:r>
        <w:rPr>
          <w:rFonts w:ascii="Calibri" w:cs="Calibri" w:eastAsia="Calibri" w:hAnsi="Calibri"/>
          <w:b/>
          <w:bCs/>
          <w:color w:val="1F3A5F"/>
          <w:sz w:val="21"/>
          <w:szCs w:val="21"/>
        </w:rPr>
        <w:t xml:space="preserve">1.06	</w:t>
      </w:r>
      <w:r>
        <w:rPr>
          <w:rFonts w:ascii="Calibri" w:cs="Calibri" w:eastAsia="Calibri" w:hAnsi="Calibri"/>
          <w:b/>
          <w:bCs/>
          <w:color w:val="1F3A5F"/>
          <w:sz w:val="21"/>
          <w:szCs w:val="21"/>
        </w:rPr>
        <w:t xml:space="preserve">SITE CONDITIONS</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Existing Conditions: Do not install baffles until the building is enclosed and HVAC systems are operational.</w:t>
      </w:r>
    </w:p>
    <w:p>
      <w:pPr>
        <w:keepNext/>
        <w:tabs>
          <w:tab w:val="left" w:pos="864"/>
        </w:tabs>
        <w:spacing w:after="50" w:before="160"/>
        <w:ind w:left="864" w:hanging="864"/>
      </w:pPr>
      <w:r>
        <w:rPr>
          <w:rFonts w:ascii="Calibri" w:cs="Calibri" w:eastAsia="Calibri" w:hAnsi="Calibri"/>
          <w:b/>
          <w:bCs/>
          <w:color w:val="1F3A5F"/>
          <w:sz w:val="21"/>
          <w:szCs w:val="21"/>
        </w:rPr>
        <w:t xml:space="preserve">1.07	</w:t>
      </w:r>
      <w:r>
        <w:rPr>
          <w:rFonts w:ascii="Calibri" w:cs="Calibri" w:eastAsia="Calibri" w:hAnsi="Calibri"/>
          <w:b/>
          <w:bCs/>
          <w:color w:val="1F3A5F"/>
          <w:sz w:val="21"/>
          <w:szCs w:val="21"/>
        </w:rPr>
        <w:t xml:space="preserve">WARRANTY</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Provide manufacturer’s standard 1-year warranty against material defects per Section 01 77 00, Closeout Procedures.</w:t>
      </w:r>
    </w:p>
    <w:p>
      <w:pPr>
        <w:keepNext/>
        <w:shd w:fill="1F3A5F" w:color="auto" w:val="clear"/>
        <w:spacing w:after="80" w:before="240"/>
        <w:ind w:left="0"/>
      </w:pPr>
      <w:r>
        <w:rPr>
          <w:rFonts w:ascii="Calibri" w:cs="Calibri" w:eastAsia="Calibri" w:hAnsi="Calibri"/>
          <w:b/>
          <w:bCs/>
          <w:color w:val="FFFFFF"/>
          <w:sz w:val="22"/>
          <w:szCs w:val="22"/>
        </w:rPr>
        <w:t xml:space="preserve">  PART 2   PRODUCTS</w:t>
      </w:r>
    </w:p>
    <w:p>
      <w:pPr>
        <w:keepNext/>
        <w:tabs>
          <w:tab w:val="left" w:pos="864"/>
        </w:tabs>
        <w:spacing w:after="50" w:before="160"/>
        <w:ind w:left="864" w:hanging="864"/>
      </w:pPr>
      <w:r>
        <w:rPr>
          <w:rFonts w:ascii="Calibri" w:cs="Calibri" w:eastAsia="Calibri" w:hAnsi="Calibri"/>
          <w:b/>
          <w:bCs/>
          <w:color w:val="1F3A5F"/>
          <w:sz w:val="21"/>
          <w:szCs w:val="21"/>
        </w:rPr>
        <w:t xml:space="preserve">2.01	</w:t>
      </w:r>
      <w:r>
        <w:rPr>
          <w:rFonts w:ascii="Calibri" w:cs="Calibri" w:eastAsia="Calibri" w:hAnsi="Calibri"/>
          <w:b/>
          <w:bCs/>
          <w:color w:val="1F3A5F"/>
          <w:sz w:val="21"/>
          <w:szCs w:val="21"/>
        </w:rPr>
        <w:t xml:space="preserve">MANUFACTURERS</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b/>
          <w:bCs/>
          <w:sz w:val="21"/>
          <w:szCs w:val="21"/>
        </w:rPr>
        <w:t xml:space="preserve">Manufacturer: </w:t>
      </w:r>
      <w:r>
        <w:rPr>
          <w:rFonts w:ascii="Calibri" w:cs="Calibri" w:eastAsia="Calibri" w:hAnsi="Calibri"/>
          <w:sz w:val="21"/>
          <w:szCs w:val="21"/>
        </w:rPr>
        <w:t xml:space="preserve">NetWell Noise Control</w:t>
      </w:r>
    </w:p>
    <w:p>
      <w:pPr>
        <w:spacing w:after="30" w:before="0" w:line="259"/>
        <w:ind w:left="1152"/>
      </w:pPr>
      <w:r>
        <w:rPr>
          <w:rFonts w:ascii="Calibri" w:cs="Calibri" w:eastAsia="Calibri" w:hAnsi="Calibri"/>
          <w:sz w:val="21"/>
          <w:szCs w:val="21"/>
        </w:rPr>
        <w:t xml:space="preserve">10567 165th St. W, Ste 106, Lakeville, MN 55044</w:t>
      </w:r>
    </w:p>
    <w:p>
      <w:pPr>
        <w:spacing w:after="30" w:before="0" w:line="259"/>
        <w:ind w:left="1152"/>
      </w:pPr>
      <w:r>
        <w:rPr>
          <w:rFonts w:ascii="Calibri" w:cs="Calibri" w:eastAsia="Calibri" w:hAnsi="Calibri"/>
          <w:sz w:val="21"/>
          <w:szCs w:val="21"/>
        </w:rPr>
        <w:t xml:space="preserve">Telephone: 1-800-638-9355   |   Email: </w:t>
      </w:r>
      <w:hyperlink w:history="1" r:id="rIduiki581zimdew7rlwkmlh">
        <w:r>
          <w:rPr>
            <w:rFonts w:ascii="Calibri" w:cs="Calibri" w:eastAsia="Calibri" w:hAnsi="Calibri"/>
            <w:color w:val="3C7DBF"/>
            <w:sz w:val="21"/>
            <w:szCs w:val="21"/>
            <w:u w:val="single"/>
          </w:rPr>
          <w:t xml:space="preserve">help@controlnoise.com</w:t>
        </w:r>
      </w:hyperlink>
    </w:p>
    <w:p>
      <w:pPr>
        <w:spacing w:after="30" w:before="0" w:line="259"/>
        <w:ind w:left="1152"/>
      </w:pPr>
      <w:r>
        <w:rPr>
          <w:rFonts w:ascii="Calibri" w:cs="Calibri" w:eastAsia="Calibri" w:hAnsi="Calibri"/>
          <w:sz w:val="21"/>
          <w:szCs w:val="21"/>
        </w:rPr>
        <w:t xml:space="preserve">Web: </w:t>
      </w:r>
      <w:hyperlink w:history="1" r:id="rIdpudcekqh9_z0pdobtbjor">
        <w:r>
          <w:rPr>
            <w:rFonts w:ascii="Calibri" w:cs="Calibri" w:eastAsia="Calibri" w:hAnsi="Calibri"/>
            <w:color w:val="3C7DBF"/>
            <w:sz w:val="21"/>
            <w:szCs w:val="21"/>
            <w:u w:val="single"/>
          </w:rPr>
          <w:t xml:space="preserve">www.controlnoise.com</w:t>
        </w:r>
      </w:hyperlink>
    </w:p>
    <w:p>
      <w:pPr>
        <w:keepNext/>
        <w:tabs>
          <w:tab w:val="left" w:pos="864"/>
        </w:tabs>
        <w:spacing w:after="50" w:before="160"/>
        <w:ind w:left="864" w:hanging="864"/>
      </w:pPr>
      <w:r>
        <w:rPr>
          <w:rFonts w:ascii="Calibri" w:cs="Calibri" w:eastAsia="Calibri" w:hAnsi="Calibri"/>
          <w:b/>
          <w:bCs/>
          <w:color w:val="1F3A5F"/>
          <w:sz w:val="21"/>
          <w:szCs w:val="21"/>
        </w:rPr>
        <w:t xml:space="preserve">2.02	</w:t>
      </w:r>
      <w:r>
        <w:rPr>
          <w:rFonts w:ascii="Calibri" w:cs="Calibri" w:eastAsia="Calibri" w:hAnsi="Calibri"/>
          <w:b/>
          <w:bCs/>
          <w:color w:val="1F3A5F"/>
          <w:sz w:val="21"/>
          <w:szCs w:val="21"/>
        </w:rPr>
        <w:t xml:space="preserve">DESCRIPTION</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Product: VET Baffles by NetWell Noise Control.</w:t>
      </w:r>
    </w:p>
    <w:p>
      <w:pPr>
        <w:keepNext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Description: Acoustical baffle wrapped in PVC vinyl film and suspended vertically from ceiling structures.</w:t>
      </w:r>
    </w:p>
    <w:p>
      <w:pPr>
        <w:keepNext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Construction:</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Core: 2” thick semi-rigid fiberglass, 2.0 lb/ft³ density.</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Facing: 5 mil PVC vinyl film, sonic-sealed on all edges.</w:t>
      </w:r>
    </w:p>
    <w:p>
      <w:pPr>
        <w:keepNext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Weight: Approximately 0.33 lb/sq ft.</w:t>
      </w:r>
    </w:p>
    <w:p>
      <w:pPr>
        <w:keepNext w:val="false"/>
        <w:tabs>
          <w:tab w:val="left" w:pos="1152"/>
        </w:tabs>
        <w:spacing w:after="30" w:before="30" w:line="259"/>
        <w:ind w:left="1152" w:hanging="432"/>
      </w:pPr>
      <w:r>
        <w:rPr>
          <w:rFonts w:ascii="Calibri" w:cs="Calibri" w:eastAsia="Calibri" w:hAnsi="Calibri"/>
          <w:sz w:val="21"/>
          <w:szCs w:val="21"/>
        </w:rPr>
        <w:t xml:space="preserve">D.	</w:t>
      </w:r>
      <w:r>
        <w:rPr>
          <w:rFonts w:ascii="Calibri" w:cs="Calibri" w:eastAsia="Calibri" w:hAnsi="Calibri"/>
          <w:sz w:val="21"/>
          <w:szCs w:val="21"/>
        </w:rPr>
        <w:t xml:space="preserve">Product Options:</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Baffle Size (Width x Height): [Standard size from table below] [Custom size: ______]</w:t>
      </w:r>
    </w:p>
    <w:p>
      <w:pPr>
        <w:keepNext/>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Standard Sizes:</w:t>
      </w:r>
    </w:p>
    <w:tbl>
      <w:tblPr>
        <w:tblW w:type="dxa" w:w="7344"/>
        <w:tblInd w:type="dxa" w:w="2016"/>
        <w:tblBorders>
          <w:top w:val="single" w:color="auto" w:sz="4"/>
          <w:left w:val="single" w:color="auto" w:sz="4"/>
          <w:bottom w:val="single" w:color="auto" w:sz="4"/>
          <w:right w:val="single" w:color="auto" w:sz="4"/>
          <w:insideH w:val="single" w:color="auto" w:sz="4"/>
          <w:insideV w:val="single" w:color="auto" w:sz="4"/>
        </w:tblBorders>
      </w:tblPr>
      <w:tblGrid>
        <w:gridCol w:w="1600"/>
        <w:gridCol w:w="5744"/>
      </w:tblGrid>
      <w:tr>
        <w:trPr>
          <w:cantSplit/>
          <w:tblHeader/>
        </w:trPr>
        <w:tc>
          <w:tcPr>
            <w:tcW w:type="dxa" w:w="1600"/>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left"/>
            </w:pPr>
            <w:r>
              <w:rPr>
                <w:rFonts w:ascii="Calibri" w:cs="Calibri" w:eastAsia="Calibri" w:hAnsi="Calibri"/>
                <w:b/>
                <w:bCs/>
                <w:color w:val="FFFFFF"/>
                <w:sz w:val="20"/>
                <w:szCs w:val="20"/>
              </w:rPr>
              <w:t xml:space="preserve">Height</w:t>
            </w:r>
          </w:p>
        </w:tc>
        <w:tc>
          <w:tcPr>
            <w:tcW w:type="dxa" w:w="5744"/>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Available Widths</w:t>
            </w:r>
          </w:p>
        </w:tc>
      </w:tr>
      <w:tr>
        <w:trPr>
          <w:cantSplit/>
        </w:trPr>
        <w:tc>
          <w:tcPr>
            <w:tcW w:type="dxa" w:w="1600"/>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spacing w:after="0" w:before="0"/>
              <w:jc w:val="left"/>
            </w:pPr>
            <w:r>
              <w:rPr>
                <w:rFonts w:ascii="Calibri" w:cs="Calibri" w:eastAsia="Calibri" w:hAnsi="Calibri"/>
                <w:b/>
                <w:bCs/>
                <w:color w:val="1F3A5F"/>
                <w:sz w:val="20"/>
                <w:szCs w:val="20"/>
              </w:rPr>
              <w:t xml:space="preserve">2’</w:t>
            </w:r>
          </w:p>
        </w:tc>
        <w:tc>
          <w:tcPr>
            <w:tcW w:type="dxa" w:w="5744"/>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val="false"/>
                <w:bCs w:val="false"/>
                <w:color w:val="000000"/>
                <w:sz w:val="20"/>
                <w:szCs w:val="20"/>
              </w:rPr>
              <w:t xml:space="preserve">2’, 4’, 5’, 6’, 8’, 10’</w:t>
            </w:r>
          </w:p>
        </w:tc>
      </w:tr>
      <w:tr>
        <w:trPr>
          <w:cantSplit/>
        </w:trPr>
        <w:tc>
          <w:tcPr>
            <w:tcW w:type="dxa" w:w="1600"/>
            <w:tcBorders>
              <w:top w:val="single" w:color="B8C4D2" w:sz="4"/>
              <w:left w:val="single" w:color="B8C4D2" w:sz="4"/>
              <w:bottom w:val="single" w:color="B8C4D2" w:sz="4"/>
              <w:right w:val="single" w:color="B8C4D2" w:sz="4"/>
            </w:tcBorders>
            <w:shd w:fill="E8EEF5" w:color="auto" w:val="clear"/>
            <w:tcMar>
              <w:top w:type="dxa" w:w="50"/>
              <w:left w:type="dxa" w:w="120"/>
              <w:bottom w:type="dxa" w:w="50"/>
              <w:right w:type="dxa" w:w="120"/>
            </w:tcMar>
            <w:vAlign w:val="center"/>
          </w:tcPr>
          <w:p>
            <w:pPr>
              <w:keepNext w:val="false"/>
              <w:spacing w:after="0" w:before="0"/>
              <w:jc w:val="left"/>
            </w:pPr>
            <w:r>
              <w:rPr>
                <w:rFonts w:ascii="Calibri" w:cs="Calibri" w:eastAsia="Calibri" w:hAnsi="Calibri"/>
                <w:b/>
                <w:bCs/>
                <w:color w:val="1F3A5F"/>
                <w:sz w:val="20"/>
                <w:szCs w:val="20"/>
              </w:rPr>
              <w:t xml:space="preserve">4’</w:t>
            </w:r>
          </w:p>
        </w:tc>
        <w:tc>
          <w:tcPr>
            <w:tcW w:type="dxa" w:w="5744"/>
            <w:tcBorders>
              <w:top w:val="single" w:color="B8C4D2" w:sz="4"/>
              <w:left w:val="single" w:color="B8C4D2" w:sz="4"/>
              <w:bottom w:val="single" w:color="B8C4D2" w:sz="4"/>
              <w:right w:val="single" w:color="B8C4D2" w:sz="4"/>
            </w:tcBorders>
            <w:shd w:fill="E8EEF5"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4’, 5’, 6’, 8’, 10’</w:t>
            </w:r>
          </w:p>
        </w:tc>
      </w:tr>
    </w:tbl>
    <w:p>
      <w:pPr>
        <w:spacing w:after="0" w:before="0" w:line="160"/>
      </w:pPr>
      <w:r>
        <w:rPr>
          <w:rFonts w:ascii="Calibri" w:cs="Calibri" w:eastAsia="Calibri" w:hAnsi="Calibri"/>
          <w:sz w:val="8"/>
          <w:szCs w:val="8"/>
        </w:rPr>
        <w:t xml:space="preserve"/>
      </w:r>
    </w:p>
    <w:p>
      <w:pPr>
        <w:keepNext w:val="false"/>
        <w:tabs>
          <w:tab w:val="left" w:pos="2016"/>
        </w:tabs>
        <w:spacing w:after="30" w:before="30" w:line="259"/>
        <w:ind w:left="2016" w:hanging="432"/>
      </w:pPr>
      <w:r>
        <w:rPr>
          <w:rFonts w:ascii="Calibri" w:cs="Calibri" w:eastAsia="Calibri" w:hAnsi="Calibri"/>
          <w:sz w:val="21"/>
          <w:szCs w:val="21"/>
        </w:rPr>
        <w:t xml:space="preserve">b.	</w:t>
      </w:r>
      <w:r>
        <w:rPr>
          <w:rFonts w:ascii="Calibri" w:cs="Calibri" w:eastAsia="Calibri" w:hAnsi="Calibri"/>
          <w:sz w:val="21"/>
          <w:szCs w:val="21"/>
        </w:rPr>
        <w:t xml:space="preserve">Custom sizes available on request.</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Orientation: [Portrait] [Landscape]</w:t>
      </w:r>
    </w:p>
    <w:p>
      <w:pPr>
        <w:keepNext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Grommets: [Nickel-plated (standard)] [Stainless steel]</w:t>
      </w:r>
    </w:p>
    <w:p>
      <w:pPr>
        <w:keepNext w:val="false"/>
        <w:tabs>
          <w:tab w:val="left" w:pos="1584"/>
        </w:tabs>
        <w:spacing w:after="30" w:before="30" w:line="259"/>
        <w:ind w:left="1584" w:hanging="432"/>
      </w:pPr>
      <w:r>
        <w:rPr>
          <w:rFonts w:ascii="Calibri" w:cs="Calibri" w:eastAsia="Calibri" w:hAnsi="Calibri"/>
          <w:sz w:val="21"/>
          <w:szCs w:val="21"/>
        </w:rPr>
        <w:t xml:space="preserve">4.	</w:t>
      </w:r>
      <w:r>
        <w:rPr>
          <w:rFonts w:ascii="Calibri" w:cs="Calibri" w:eastAsia="Calibri" w:hAnsi="Calibri"/>
          <w:sz w:val="21"/>
          <w:szCs w:val="21"/>
        </w:rPr>
        <w:t xml:space="preserve">Suspension: [NetWell Baffle Suspension Kit] [Chain] [Cable ties] [Wire] [Other ceiling-hung hardware]</w:t>
      </w:r>
    </w:p>
    <w:p>
      <w:pPr>
        <w:keepNext/>
        <w:tabs>
          <w:tab w:val="left" w:pos="1152"/>
        </w:tabs>
        <w:spacing w:after="30" w:before="30" w:line="259"/>
        <w:ind w:left="1152" w:hanging="432"/>
      </w:pPr>
      <w:r>
        <w:rPr>
          <w:rFonts w:ascii="Calibri" w:cs="Calibri" w:eastAsia="Calibri" w:hAnsi="Calibri"/>
          <w:sz w:val="21"/>
          <w:szCs w:val="21"/>
        </w:rPr>
        <w:t xml:space="preserve">E.	</w:t>
      </w:r>
      <w:r>
        <w:rPr>
          <w:rFonts w:ascii="Calibri" w:cs="Calibri" w:eastAsia="Calibri" w:hAnsi="Calibri"/>
          <w:sz w:val="21"/>
          <w:szCs w:val="21"/>
        </w:rPr>
        <w:t xml:space="preserve">Product Performance:</w:t>
      </w:r>
    </w:p>
    <w:p>
      <w:pPr>
        <w:keepNext/>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Acoustical Performance:</w:t>
      </w:r>
    </w:p>
    <w:p>
      <w:pPr>
        <w:keepNext/>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Sound Absorption per ASTM C423 and ASTM E795, both faces exposed:</w:t>
      </w:r>
    </w:p>
    <w:tbl>
      <w:tblPr>
        <w:tblW w:type="dxa" w:w="7344"/>
        <w:tblInd w:type="dxa" w:w="2016"/>
        <w:tblBorders>
          <w:top w:val="single" w:color="auto" w:sz="4"/>
          <w:left w:val="single" w:color="auto" w:sz="4"/>
          <w:bottom w:val="single" w:color="auto" w:sz="4"/>
          <w:right w:val="single" w:color="auto" w:sz="4"/>
          <w:insideH w:val="single" w:color="auto" w:sz="4"/>
          <w:insideV w:val="single" w:color="auto" w:sz="4"/>
        </w:tblBorders>
      </w:tblPr>
      <w:tblGrid>
        <w:gridCol w:w="1800"/>
        <w:gridCol w:w="1848"/>
        <w:gridCol w:w="1848"/>
        <w:gridCol w:w="1848"/>
      </w:tblGrid>
      <w:tr>
        <w:trPr>
          <w:cantSplit/>
          <w:tblHeader/>
        </w:trPr>
        <w:tc>
          <w:tcPr>
            <w:tcW w:type="dxa" w:w="1800"/>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left"/>
            </w:pPr>
            <w:r>
              <w:rPr>
                <w:rFonts w:ascii="Calibri" w:cs="Calibri" w:eastAsia="Calibri" w:hAnsi="Calibri"/>
                <w:b/>
                <w:bCs/>
                <w:color w:val="FFFFFF"/>
                <w:sz w:val="20"/>
                <w:szCs w:val="20"/>
              </w:rPr>
              <w:t xml:space="preserve">Baffle Size</w:t>
            </w:r>
          </w:p>
        </w:tc>
        <w:tc>
          <w:tcPr>
            <w:tcW w:type="dxa" w:w="1848"/>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Thickness</w:t>
            </w:r>
          </w:p>
        </w:tc>
        <w:tc>
          <w:tcPr>
            <w:tcW w:type="dxa" w:w="1848"/>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Sabins per Baffle</w:t>
            </w:r>
          </w:p>
        </w:tc>
        <w:tc>
          <w:tcPr>
            <w:tcW w:type="dxa" w:w="1848"/>
            <w:tcBorders>
              <w:top w:val="single" w:color="B8C4D2" w:sz="4"/>
              <w:left w:val="single" w:color="B8C4D2" w:sz="4"/>
              <w:bottom w:val="single" w:color="B8C4D2" w:sz="4"/>
              <w:right w:val="single" w:color="B8C4D2" w:sz="4"/>
            </w:tcBorders>
            <w:shd w:fill="1F3A5F" w:color="auto" w:val="clear"/>
            <w:tcMar>
              <w:top w:type="dxa" w:w="50"/>
              <w:left w:type="dxa" w:w="120"/>
              <w:bottom w:type="dxa" w:w="50"/>
              <w:right w:type="dxa" w:w="120"/>
            </w:tcMar>
            <w:vAlign w:val="center"/>
          </w:tcPr>
          <w:p>
            <w:pPr>
              <w:keepNext/>
              <w:spacing w:after="0" w:before="0"/>
              <w:jc w:val="center"/>
            </w:pPr>
            <w:r>
              <w:rPr>
                <w:rFonts w:ascii="Calibri" w:cs="Calibri" w:eastAsia="Calibri" w:hAnsi="Calibri"/>
                <w:b/>
                <w:bCs/>
                <w:color w:val="FFFFFF"/>
                <w:sz w:val="20"/>
                <w:szCs w:val="20"/>
              </w:rPr>
              <w:t xml:space="preserve">NRC Equivalent</w:t>
            </w:r>
          </w:p>
        </w:tc>
      </w:tr>
      <w:tr>
        <w:trPr>
          <w:cantSplit/>
        </w:trPr>
        <w:tc>
          <w:tcPr>
            <w:tcW w:type="dxa" w:w="1800"/>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val="false"/>
              <w:spacing w:after="0" w:before="0"/>
              <w:jc w:val="left"/>
            </w:pPr>
            <w:r>
              <w:rPr>
                <w:rFonts w:ascii="Calibri" w:cs="Calibri" w:eastAsia="Calibri" w:hAnsi="Calibri"/>
                <w:b/>
                <w:bCs/>
                <w:color w:val="1F3A5F"/>
                <w:sz w:val="20"/>
                <w:szCs w:val="20"/>
              </w:rPr>
              <w:t xml:space="preserve">4’W x 2’H</w:t>
            </w:r>
          </w:p>
        </w:tc>
        <w:tc>
          <w:tcPr>
            <w:tcW w:type="dxa" w:w="1848"/>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2”</w:t>
            </w:r>
          </w:p>
        </w:tc>
        <w:tc>
          <w:tcPr>
            <w:tcW w:type="dxa" w:w="1848"/>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8.54</w:t>
            </w:r>
          </w:p>
        </w:tc>
        <w:tc>
          <w:tcPr>
            <w:tcW w:type="dxa" w:w="1848"/>
            <w:tcBorders>
              <w:top w:val="single" w:color="B8C4D2" w:sz="4"/>
              <w:left w:val="single" w:color="B8C4D2" w:sz="4"/>
              <w:bottom w:val="single" w:color="B8C4D2" w:sz="4"/>
              <w:right w:val="single" w:color="B8C4D2" w:sz="4"/>
            </w:tcBorders>
            <w:shd w:fill="FFFFFF" w:color="auto" w:val="clear"/>
            <w:tcMar>
              <w:top w:type="dxa" w:w="50"/>
              <w:left w:type="dxa" w:w="120"/>
              <w:bottom w:type="dxa" w:w="50"/>
              <w:right w:type="dxa" w:w="120"/>
            </w:tcMar>
            <w:vAlign w:val="center"/>
          </w:tcPr>
          <w:p>
            <w:pPr>
              <w:keepNext w:val="false"/>
              <w:spacing w:after="0" w:before="0"/>
              <w:jc w:val="center"/>
            </w:pPr>
            <w:r>
              <w:rPr>
                <w:rFonts w:ascii="Calibri" w:cs="Calibri" w:eastAsia="Calibri" w:hAnsi="Calibri"/>
                <w:b w:val="false"/>
                <w:bCs w:val="false"/>
                <w:color w:val="000000"/>
                <w:sz w:val="20"/>
                <w:szCs w:val="20"/>
              </w:rPr>
              <w:t xml:space="preserve">1.07</w:t>
            </w:r>
          </w:p>
        </w:tc>
      </w:tr>
    </w:tbl>
    <w:p>
      <w:pPr>
        <w:spacing w:after="0" w:before="0" w:line="160"/>
      </w:pPr>
      <w:r>
        <w:rPr>
          <w:rFonts w:ascii="Calibri" w:cs="Calibri" w:eastAsia="Calibri" w:hAnsi="Calibri"/>
          <w:sz w:val="8"/>
          <w:szCs w:val="8"/>
        </w:rPr>
        <w:t xml:space="preserve"/>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Surface Burning Performance:</w:t>
      </w:r>
    </w:p>
    <w:p>
      <w:pPr>
        <w:keepNext w:val="false"/>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Fire Rating per ASTM E84 / UL 723: Class A.</w:t>
      </w:r>
    </w:p>
    <w:p>
      <w:pPr>
        <w:keepNext w:val="false"/>
        <w:tabs>
          <w:tab w:val="left" w:pos="2016"/>
        </w:tabs>
        <w:spacing w:after="30" w:before="30" w:line="259"/>
        <w:ind w:left="2016" w:hanging="432"/>
      </w:pPr>
      <w:r>
        <w:rPr>
          <w:rFonts w:ascii="Calibri" w:cs="Calibri" w:eastAsia="Calibri" w:hAnsi="Calibri"/>
          <w:sz w:val="21"/>
          <w:szCs w:val="21"/>
        </w:rPr>
        <w:t xml:space="preserve">b.	</w:t>
      </w:r>
      <w:r>
        <w:rPr>
          <w:rFonts w:ascii="Calibri" w:cs="Calibri" w:eastAsia="Calibri" w:hAnsi="Calibri"/>
          <w:sz w:val="21"/>
          <w:szCs w:val="21"/>
        </w:rPr>
        <w:t xml:space="preserve">PVC Facing: Meets NFPA 701.</w:t>
      </w:r>
    </w:p>
    <w:p>
      <w:pPr>
        <w:keepNext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Environmental:</w:t>
      </w:r>
    </w:p>
    <w:p>
      <w:pPr>
        <w:keepNext w:val="false"/>
        <w:tabs>
          <w:tab w:val="left" w:pos="2016"/>
        </w:tabs>
        <w:spacing w:after="30" w:before="30" w:line="259"/>
        <w:ind w:left="2016" w:hanging="432"/>
      </w:pPr>
      <w:r>
        <w:rPr>
          <w:rFonts w:ascii="Calibri" w:cs="Calibri" w:eastAsia="Calibri" w:hAnsi="Calibri"/>
          <w:sz w:val="21"/>
          <w:szCs w:val="21"/>
        </w:rPr>
        <w:t xml:space="preserve">a.	</w:t>
      </w:r>
      <w:r>
        <w:rPr>
          <w:rFonts w:ascii="Calibri" w:cs="Calibri" w:eastAsia="Calibri" w:hAnsi="Calibri"/>
          <w:sz w:val="21"/>
          <w:szCs w:val="21"/>
        </w:rPr>
        <w:t xml:space="preserve">Contains no formaldehyde.</w:t>
      </w:r>
    </w:p>
    <w:p>
      <w:pPr>
        <w:keepNext w:val="false"/>
        <w:tabs>
          <w:tab w:val="left" w:pos="2016"/>
        </w:tabs>
        <w:spacing w:after="30" w:before="30" w:line="259"/>
        <w:ind w:left="2016" w:hanging="432"/>
      </w:pPr>
      <w:r>
        <w:rPr>
          <w:rFonts w:ascii="Calibri" w:cs="Calibri" w:eastAsia="Calibri" w:hAnsi="Calibri"/>
          <w:sz w:val="21"/>
          <w:szCs w:val="21"/>
        </w:rPr>
        <w:t xml:space="preserve">b.	</w:t>
      </w:r>
      <w:r>
        <w:rPr>
          <w:rFonts w:ascii="Calibri" w:cs="Calibri" w:eastAsia="Calibri" w:hAnsi="Calibri"/>
          <w:sz w:val="21"/>
          <w:szCs w:val="21"/>
        </w:rPr>
        <w:t xml:space="preserve">Recyclable fiberglass core.</w:t>
      </w:r>
    </w:p>
    <w:p>
      <w:pPr>
        <w:keepNext/>
        <w:tabs>
          <w:tab w:val="left" w:pos="864"/>
        </w:tabs>
        <w:spacing w:after="50" w:before="160"/>
        <w:ind w:left="864" w:hanging="864"/>
      </w:pPr>
      <w:r>
        <w:rPr>
          <w:rFonts w:ascii="Calibri" w:cs="Calibri" w:eastAsia="Calibri" w:hAnsi="Calibri"/>
          <w:b/>
          <w:bCs/>
          <w:color w:val="1F3A5F"/>
          <w:sz w:val="21"/>
          <w:szCs w:val="21"/>
        </w:rPr>
        <w:t xml:space="preserve">2.03	</w:t>
      </w:r>
      <w:r>
        <w:rPr>
          <w:rFonts w:ascii="Calibri" w:cs="Calibri" w:eastAsia="Calibri" w:hAnsi="Calibri"/>
          <w:b/>
          <w:bCs/>
          <w:color w:val="1F3A5F"/>
          <w:sz w:val="21"/>
          <w:szCs w:val="21"/>
        </w:rPr>
        <w:t xml:space="preserve">ACCESSORIES</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Grommets: Factory installed as specified. Number of grommets varies with baffle size and orientation.</w:t>
      </w:r>
    </w:p>
    <w:p>
      <w:pPr>
        <w:keepNext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Suspension Kit (Optional): NetWell Baffle Suspension Kit, available from the baffle manufacturer. Provide one kit per grommet.</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Cable: 1.5 mm steel cable, 2 m (approximately 6’-6”) length.</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Ceiling Mount: Quick connect ceiling fitting, fastened to structure with a screw.</w:t>
      </w:r>
    </w:p>
    <w:p>
      <w:pPr>
        <w:keepNext w:val="false"/>
        <w:tabs>
          <w:tab w:val="left" w:pos="1584"/>
        </w:tabs>
        <w:spacing w:after="30" w:before="30" w:line="259"/>
        <w:ind w:left="1584" w:hanging="432"/>
      </w:pPr>
      <w:r>
        <w:rPr>
          <w:rFonts w:ascii="Calibri" w:cs="Calibri" w:eastAsia="Calibri" w:hAnsi="Calibri"/>
          <w:sz w:val="21"/>
          <w:szCs w:val="21"/>
        </w:rPr>
        <w:t xml:space="preserve">3.	</w:t>
      </w:r>
      <w:r>
        <w:rPr>
          <w:rFonts w:ascii="Calibri" w:cs="Calibri" w:eastAsia="Calibri" w:hAnsi="Calibri"/>
          <w:sz w:val="21"/>
          <w:szCs w:val="21"/>
        </w:rPr>
        <w:t xml:space="preserve">Baffle Connection: Adjustable loop at cable end, sized by pressing the release button on the loop fitting, passed through the baffle grommet.</w:t>
      </w:r>
    </w:p>
    <w:p>
      <w:pPr>
        <w:keepNext w:val="false"/>
        <w:tabs>
          <w:tab w:val="left" w:pos="1584"/>
        </w:tabs>
        <w:spacing w:after="30" w:before="30" w:line="259"/>
        <w:ind w:left="1584" w:hanging="432"/>
      </w:pPr>
      <w:r>
        <w:rPr>
          <w:rFonts w:ascii="Calibri" w:cs="Calibri" w:eastAsia="Calibri" w:hAnsi="Calibri"/>
          <w:sz w:val="21"/>
          <w:szCs w:val="21"/>
        </w:rPr>
        <w:t xml:space="preserve">4.	</w:t>
      </w:r>
      <w:r>
        <w:rPr>
          <w:rFonts w:ascii="Calibri" w:cs="Calibri" w:eastAsia="Calibri" w:hAnsi="Calibri"/>
          <w:sz w:val="21"/>
          <w:szCs w:val="21"/>
        </w:rPr>
        <w:t xml:space="preserve">Load Capacity: 25 kg (55 lb) maximum per kit.</w:t>
      </w:r>
    </w:p>
    <w:p>
      <w:pPr>
        <w:keepNext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Other Suspension Hardware: Where the suspension kit is not used, provide suspension hardware by others, rated for the weight of the baffles and suitable for the ceiling structure.</w:t>
      </w:r>
    </w:p>
    <w:p>
      <w:pPr>
        <w:keepNext/>
        <w:shd w:fill="1F3A5F" w:color="auto" w:val="clear"/>
        <w:spacing w:after="80" w:before="240"/>
        <w:ind w:left="0"/>
      </w:pPr>
      <w:r>
        <w:rPr>
          <w:rFonts w:ascii="Calibri" w:cs="Calibri" w:eastAsia="Calibri" w:hAnsi="Calibri"/>
          <w:b/>
          <w:bCs/>
          <w:color w:val="FFFFFF"/>
          <w:sz w:val="22"/>
          <w:szCs w:val="22"/>
        </w:rPr>
        <w:t xml:space="preserve">  PART 3   EXECUTION</w:t>
      </w:r>
    </w:p>
    <w:p>
      <w:pPr>
        <w:keepNext/>
        <w:tabs>
          <w:tab w:val="left" w:pos="864"/>
        </w:tabs>
        <w:spacing w:after="50" w:before="160"/>
        <w:ind w:left="864" w:hanging="864"/>
      </w:pPr>
      <w:r>
        <w:rPr>
          <w:rFonts w:ascii="Calibri" w:cs="Calibri" w:eastAsia="Calibri" w:hAnsi="Calibri"/>
          <w:b/>
          <w:bCs/>
          <w:color w:val="1F3A5F"/>
          <w:sz w:val="21"/>
          <w:szCs w:val="21"/>
        </w:rPr>
        <w:t xml:space="preserve">3.01	</w:t>
      </w:r>
      <w:r>
        <w:rPr>
          <w:rFonts w:ascii="Calibri" w:cs="Calibri" w:eastAsia="Calibri" w:hAnsi="Calibri"/>
          <w:b/>
          <w:bCs/>
          <w:color w:val="1F3A5F"/>
          <w:sz w:val="21"/>
          <w:szCs w:val="21"/>
        </w:rPr>
        <w:t xml:space="preserve">EXAMINATION</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Verification of Conditions:</w:t>
      </w:r>
    </w:p>
    <w:p>
      <w:pPr>
        <w:keepNext w:val="false"/>
        <w:tabs>
          <w:tab w:val="left" w:pos="1584"/>
        </w:tabs>
        <w:spacing w:after="30" w:before="30" w:line="259"/>
        <w:ind w:left="1584" w:hanging="432"/>
      </w:pPr>
      <w:r>
        <w:rPr>
          <w:rFonts w:ascii="Calibri" w:cs="Calibri" w:eastAsia="Calibri" w:hAnsi="Calibri"/>
          <w:sz w:val="21"/>
          <w:szCs w:val="21"/>
        </w:rPr>
        <w:t xml:space="preserve">1.	</w:t>
      </w:r>
      <w:r>
        <w:rPr>
          <w:rFonts w:ascii="Calibri" w:cs="Calibri" w:eastAsia="Calibri" w:hAnsi="Calibri"/>
          <w:sz w:val="21"/>
          <w:szCs w:val="21"/>
        </w:rPr>
        <w:t xml:space="preserve">Verify that ceiling conditions and structural supports are suitable for baffle installation.</w:t>
      </w:r>
    </w:p>
    <w:p>
      <w:pPr>
        <w:keepNext w:val="false"/>
        <w:tabs>
          <w:tab w:val="left" w:pos="1584"/>
        </w:tabs>
        <w:spacing w:after="30" w:before="30" w:line="259"/>
        <w:ind w:left="1584" w:hanging="432"/>
      </w:pPr>
      <w:r>
        <w:rPr>
          <w:rFonts w:ascii="Calibri" w:cs="Calibri" w:eastAsia="Calibri" w:hAnsi="Calibri"/>
          <w:sz w:val="21"/>
          <w:szCs w:val="21"/>
        </w:rPr>
        <w:t xml:space="preserve">2.	</w:t>
      </w:r>
      <w:r>
        <w:rPr>
          <w:rFonts w:ascii="Calibri" w:cs="Calibri" w:eastAsia="Calibri" w:hAnsi="Calibri"/>
          <w:sz w:val="21"/>
          <w:szCs w:val="21"/>
        </w:rPr>
        <w:t xml:space="preserve">Report unsatisfactory conditions to the General Contractor in writing.</w:t>
      </w:r>
    </w:p>
    <w:p>
      <w:pPr>
        <w:keepNext/>
        <w:tabs>
          <w:tab w:val="left" w:pos="864"/>
        </w:tabs>
        <w:spacing w:after="50" w:before="160"/>
        <w:ind w:left="864" w:hanging="864"/>
      </w:pPr>
      <w:r>
        <w:rPr>
          <w:rFonts w:ascii="Calibri" w:cs="Calibri" w:eastAsia="Calibri" w:hAnsi="Calibri"/>
          <w:b/>
          <w:bCs/>
          <w:color w:val="1F3A5F"/>
          <w:sz w:val="21"/>
          <w:szCs w:val="21"/>
        </w:rPr>
        <w:t xml:space="preserve">3.02	</w:t>
      </w:r>
      <w:r>
        <w:rPr>
          <w:rFonts w:ascii="Calibri" w:cs="Calibri" w:eastAsia="Calibri" w:hAnsi="Calibri"/>
          <w:b/>
          <w:bCs/>
          <w:color w:val="1F3A5F"/>
          <w:sz w:val="21"/>
          <w:szCs w:val="21"/>
        </w:rPr>
        <w:t xml:space="preserve">INSTALLATION</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Install baffles per manufacturer’s installation instructions and approved shop drawings.</w:t>
      </w:r>
    </w:p>
    <w:p>
      <w:pPr>
        <w:keepNext w:val="false"/>
        <w:tabs>
          <w:tab w:val="left" w:pos="1152"/>
        </w:tabs>
        <w:spacing w:after="30" w:before="30" w:line="259"/>
        <w:ind w:left="1152" w:hanging="432"/>
      </w:pPr>
      <w:r>
        <w:rPr>
          <w:rFonts w:ascii="Calibri" w:cs="Calibri" w:eastAsia="Calibri" w:hAnsi="Calibri"/>
          <w:sz w:val="21"/>
          <w:szCs w:val="21"/>
        </w:rPr>
        <w:t xml:space="preserve">B.	</w:t>
      </w:r>
      <w:r>
        <w:rPr>
          <w:rFonts w:ascii="Calibri" w:cs="Calibri" w:eastAsia="Calibri" w:hAnsi="Calibri"/>
          <w:sz w:val="21"/>
          <w:szCs w:val="21"/>
        </w:rPr>
        <w:t xml:space="preserve">Suspend baffles from ceiling structure using the NetWell Baffle Suspension Kit or another approved method such as chain, cable ties, or wire. Provide one suspension point at each grommet, and use fasteners suited to the ceiling structure.</w:t>
      </w:r>
    </w:p>
    <w:p>
      <w:pPr>
        <w:keepNext w:val="false"/>
        <w:tabs>
          <w:tab w:val="left" w:pos="1152"/>
        </w:tabs>
        <w:spacing w:after="30" w:before="30" w:line="259"/>
        <w:ind w:left="1152" w:hanging="432"/>
      </w:pPr>
      <w:r>
        <w:rPr>
          <w:rFonts w:ascii="Calibri" w:cs="Calibri" w:eastAsia="Calibri" w:hAnsi="Calibri"/>
          <w:sz w:val="21"/>
          <w:szCs w:val="21"/>
        </w:rPr>
        <w:t xml:space="preserve">C.	</w:t>
      </w:r>
      <w:r>
        <w:rPr>
          <w:rFonts w:ascii="Calibri" w:cs="Calibri" w:eastAsia="Calibri" w:hAnsi="Calibri"/>
          <w:sz w:val="21"/>
          <w:szCs w:val="21"/>
        </w:rPr>
        <w:t xml:space="preserve">Hang baffles level, plumb, and evenly spaced for optimal acoustical and visual performance.</w:t>
      </w:r>
    </w:p>
    <w:p>
      <w:pPr>
        <w:keepNext w:val="false"/>
        <w:tabs>
          <w:tab w:val="left" w:pos="1152"/>
        </w:tabs>
        <w:spacing w:after="30" w:before="30" w:line="259"/>
        <w:ind w:left="1152" w:hanging="432"/>
      </w:pPr>
      <w:r>
        <w:rPr>
          <w:rFonts w:ascii="Calibri" w:cs="Calibri" w:eastAsia="Calibri" w:hAnsi="Calibri"/>
          <w:sz w:val="21"/>
          <w:szCs w:val="21"/>
        </w:rPr>
        <w:t xml:space="preserve">D.	</w:t>
      </w:r>
      <w:r>
        <w:rPr>
          <w:rFonts w:ascii="Calibri" w:cs="Calibri" w:eastAsia="Calibri" w:hAnsi="Calibri"/>
          <w:sz w:val="21"/>
          <w:szCs w:val="21"/>
        </w:rPr>
        <w:t xml:space="preserve">Coordinate with lighting, sprinkler systems, HVAC, and other ceiling-mounted equipment, and maintain clearance from light fixtures and sprinkler heads.</w:t>
      </w:r>
    </w:p>
    <w:p>
      <w:pPr>
        <w:keepNext/>
        <w:tabs>
          <w:tab w:val="left" w:pos="864"/>
        </w:tabs>
        <w:spacing w:after="50" w:before="160"/>
        <w:ind w:left="864" w:hanging="864"/>
      </w:pPr>
      <w:r>
        <w:rPr>
          <w:rFonts w:ascii="Calibri" w:cs="Calibri" w:eastAsia="Calibri" w:hAnsi="Calibri"/>
          <w:b/>
          <w:bCs/>
          <w:color w:val="1F3A5F"/>
          <w:sz w:val="21"/>
          <w:szCs w:val="21"/>
        </w:rPr>
        <w:t xml:space="preserve">3.03	</w:t>
      </w:r>
      <w:r>
        <w:rPr>
          <w:rFonts w:ascii="Calibri" w:cs="Calibri" w:eastAsia="Calibri" w:hAnsi="Calibri"/>
          <w:b/>
          <w:bCs/>
          <w:color w:val="1F3A5F"/>
          <w:sz w:val="21"/>
          <w:szCs w:val="21"/>
        </w:rPr>
        <w:t xml:space="preserve">CLEANING</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Clean baffles with a mild detergent and damp cloth. Do not use abrasive cleaners.</w:t>
      </w:r>
    </w:p>
    <w:p>
      <w:pPr>
        <w:keepNext/>
        <w:tabs>
          <w:tab w:val="left" w:pos="864"/>
        </w:tabs>
        <w:spacing w:after="50" w:before="160"/>
        <w:ind w:left="864" w:hanging="864"/>
      </w:pPr>
      <w:r>
        <w:rPr>
          <w:rFonts w:ascii="Calibri" w:cs="Calibri" w:eastAsia="Calibri" w:hAnsi="Calibri"/>
          <w:b/>
          <w:bCs/>
          <w:color w:val="1F3A5F"/>
          <w:sz w:val="21"/>
          <w:szCs w:val="21"/>
        </w:rPr>
        <w:t xml:space="preserve">3.04	</w:t>
      </w:r>
      <w:r>
        <w:rPr>
          <w:rFonts w:ascii="Calibri" w:cs="Calibri" w:eastAsia="Calibri" w:hAnsi="Calibri"/>
          <w:b/>
          <w:bCs/>
          <w:color w:val="1F3A5F"/>
          <w:sz w:val="21"/>
          <w:szCs w:val="21"/>
        </w:rPr>
        <w:t xml:space="preserve">PROTECTION</w:t>
      </w:r>
    </w:p>
    <w:p>
      <w:pPr>
        <w:keepNext w:val="false"/>
        <w:tabs>
          <w:tab w:val="left" w:pos="1152"/>
        </w:tabs>
        <w:spacing w:after="30" w:before="30" w:line="259"/>
        <w:ind w:left="1152" w:hanging="432"/>
      </w:pPr>
      <w:r>
        <w:rPr>
          <w:rFonts w:ascii="Calibri" w:cs="Calibri" w:eastAsia="Calibri" w:hAnsi="Calibri"/>
          <w:sz w:val="21"/>
          <w:szCs w:val="21"/>
        </w:rPr>
        <w:t xml:space="preserve">A.	</w:t>
      </w:r>
      <w:r>
        <w:rPr>
          <w:rFonts w:ascii="Calibri" w:cs="Calibri" w:eastAsia="Calibri" w:hAnsi="Calibri"/>
          <w:sz w:val="21"/>
          <w:szCs w:val="21"/>
        </w:rPr>
        <w:t xml:space="preserve">Protect installed products from damage until project completion.</w:t>
      </w:r>
    </w:p>
    <w:p>
      <w:pPr>
        <w:spacing w:before="200"/>
        <w:jc w:val="center"/>
      </w:pPr>
      <w:r>
        <w:rPr>
          <w:rFonts w:ascii="Calibri" w:cs="Calibri" w:eastAsia="Calibri" w:hAnsi="Calibri"/>
          <w:b/>
          <w:bCs/>
          <w:color w:val="1F3A5F"/>
          <w:spacing w:val="40"/>
          <w:sz w:val="21"/>
          <w:szCs w:val="21"/>
        </w:rPr>
        <w:t xml:space="preserve">END OF SECTION</w:t>
      </w:r>
    </w:p>
    <w:sectPr>
      <w:footerReference w:type="default" r:id="rId7"/>
      <w:pgSz w:w="12240" w:h="15840" w:orient="portrait"/>
      <w:pgMar w:top="1008" w:right="1440" w:bottom="1008"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NWFooter"/>
      <w:pBdr>
        <w:top w:val="single" w:color="B8C4D2" w:sz="4" w:space="6"/>
      </w:pBdr>
      <w:tabs>
        <w:tab w:val="right" w:pos="9360"/>
      </w:tabs>
    </w:pPr>
    <w:r>
      <w:rPr>
        <w:rFonts w:ascii="Calibri" w:cs="Calibri" w:eastAsia="Calibri" w:hAnsi="Calibri"/>
        <w:color w:val="5F6B7A"/>
        <w:sz w:val="16"/>
        <w:szCs w:val="16"/>
      </w:rPr>
      <w:t xml:space="preserve">VET Acoustical Baffles</w:t>
    </w:r>
    <w:r>
      <w:rPr>
        <w:rFonts w:ascii="Calibri" w:cs="Calibri" w:eastAsia="Calibri" w:hAnsi="Calibri"/>
        <w:color w:val="5F6B7A"/>
        <w:sz w:val="16"/>
        <w:szCs w:val="16"/>
      </w:rPr>
      <w:t xml:space="preserve">	Section 09 84 36  |  Page </w:t>
      <w:fldChar w:fldCharType="begin"/>
      <w:instrText xml:space="preserve">PAGE</w:instrText>
      <w:fldChar w:fldCharType="separate"/>
      <w:fldChar w:fldCharType="end"/>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WFooter">
    <w:name w:val="NW Footer"/>
    <w:rPr>
      <w:rFonts w:ascii="Calibri" w:cs="Calibri" w:eastAsia="Calibri" w:hAnsi="Calibri"/>
      <w:color w:val="5F6B7A"/>
      <w:sz w:val="16"/>
      <w:szCs w:val="1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v4ztnigmupdtzuqrfge-j" Type="http://schemas.openxmlformats.org/officeDocument/2006/relationships/hyperlink" Target="mailto:help@controlnoise.com" TargetMode="External"/><Relationship Id="rIdd4cxbvd5ddruy4pqsaxz_" Type="http://schemas.openxmlformats.org/officeDocument/2006/relationships/hyperlink" Target="https://www.controlnoise.com" TargetMode="External"/><Relationship Id="rIduiki581zimdew7rlwkmlh" Type="http://schemas.openxmlformats.org/officeDocument/2006/relationships/hyperlink" Target="mailto:help@controlnoise.com" TargetMode="External"/><Relationship Id="rIdpudcekqh9_z0pdobtbjor" Type="http://schemas.openxmlformats.org/officeDocument/2006/relationships/hyperlink" Target="https://www.controlnoise.com" TargetMode="External"/><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VET Acoustical Baffles Specification</dc:title>
  <dc:creator>NetWell Noise Control</dc:creator>
  <cp:lastModifiedBy>Un-named</cp:lastModifiedBy>
  <cp:revision>1</cp:revision>
  <dcterms:created xsi:type="dcterms:W3CDTF">2026-10-21T17:13:29.163Z</dcterms:created>
  <dcterms:modified xsi:type="dcterms:W3CDTF">2026-10-21T17:13:29.163Z</dcterms:modified>
</cp:coreProperties>
</file>

<file path=docProps/custom.xml><?xml version="1.0" encoding="utf-8"?>
<Properties xmlns="http://schemas.openxmlformats.org/officeDocument/2006/custom-properties" xmlns:vt="http://schemas.openxmlformats.org/officeDocument/2006/docPropsVTypes"/>
</file>